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C8F37" w14:textId="77777777" w:rsidR="00B4134C" w:rsidRPr="00B4134C" w:rsidRDefault="00B4134C" w:rsidP="00B4134C">
      <w:pPr>
        <w:shd w:val="clear" w:color="auto" w:fill="FFFFFF"/>
        <w:spacing w:after="450" w:line="240" w:lineRule="auto"/>
        <w:outlineLvl w:val="0"/>
        <w:rPr>
          <w:rFonts w:ascii="Arial" w:eastAsia="Times New Roman" w:hAnsi="Arial" w:cs="Arial"/>
          <w:caps/>
          <w:color w:val="20558D"/>
          <w:kern w:val="36"/>
          <w:sz w:val="48"/>
          <w:szCs w:val="48"/>
          <w:lang w:eastAsia="cs-CZ"/>
        </w:rPr>
      </w:pPr>
      <w:r w:rsidRPr="00B4134C">
        <w:rPr>
          <w:rFonts w:ascii="Arial" w:eastAsia="Times New Roman" w:hAnsi="Arial" w:cs="Arial"/>
          <w:caps/>
          <w:color w:val="20558D"/>
          <w:kern w:val="36"/>
          <w:sz w:val="48"/>
          <w:szCs w:val="48"/>
          <w:lang w:eastAsia="cs-CZ"/>
        </w:rPr>
        <w:t>PF02-12 PODPROGRAM NA PODPORU OBNOVY VENKOVA</w:t>
      </w:r>
    </w:p>
    <w:p w14:paraId="751F20F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1. Popis současné situace a hlavní výsledky předešlých činností</w:t>
      </w:r>
    </w:p>
    <w:p w14:paraId="4641C5AE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1.1 Soulad se strategickými dokumenty kraje</w:t>
      </w:r>
    </w:p>
    <w:p w14:paraId="6449858A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Strategie rozvoje Zlínského kraje na období 2009 – 2020 pilíř 3. Efektivní infrastruktura rozvoje venkova, cíl 3.2. Zatraktivnit život na venkově a podporovat diversifikaci činností na venkově.</w:t>
      </w:r>
    </w:p>
    <w:p w14:paraId="7394FD7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Program rozvoje územního obvodu Zlínského kraje, 2010 – 2012 (PRÚOZK), pilíř 3. Efektivní infrastruktura a rozvoj venkova.</w:t>
      </w:r>
    </w:p>
    <w:p w14:paraId="35CC7B2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Strategie rozvoje venkova ve Zlínském kraji 2010 – 2015.</w:t>
      </w:r>
    </w:p>
    <w:p w14:paraId="009D2E3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Od roku 2004 přešla obnova venkova do kompetence krajů a ve Zlínském kraji je realizována formou podprogramu. Podprogram na podporu obnovy venkova je vyhlašován v souladu s Metodickým pokynem MP/13 Pravidla pro poskytování podpory na základě podprogramu a podpory ve formě přímé dotace z Programového fondu Zlínského kraje.</w:t>
      </w:r>
    </w:p>
    <w:p w14:paraId="2902731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1.2 Historie POV ve Zlínském kraji:</w:t>
      </w:r>
    </w:p>
    <w:p w14:paraId="5E05BF93" w14:textId="77777777" w:rsidR="00B4134C" w:rsidRPr="00B4134C" w:rsidRDefault="00B4134C" w:rsidP="00B4134C">
      <w:pPr>
        <w:shd w:val="clear" w:color="auto" w:fill="FFFFFF"/>
        <w:spacing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Podpora poskytovaná v rámci POV v letech 2004-2011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1485"/>
        <w:gridCol w:w="1685"/>
        <w:gridCol w:w="1417"/>
        <w:gridCol w:w="1056"/>
        <w:gridCol w:w="1110"/>
        <w:gridCol w:w="1688"/>
      </w:tblGrid>
      <w:tr w:rsidR="00B4134C" w:rsidRPr="00B4134C" w14:paraId="39D31030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D9352AB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rok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7D72743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č. podprogramu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40A179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částka vyčleněná na podprogram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2371AE7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požadovaná částka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70FC1BF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počet žadatelů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2888E3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počet příjemců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BC46E9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% uspokojených žadatelů</w:t>
            </w:r>
          </w:p>
        </w:tc>
      </w:tr>
      <w:tr w:rsidR="00B4134C" w:rsidRPr="00B4134C" w14:paraId="3774DB81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120D4FB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2004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3978F5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 01-04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86263F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30,1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1A16AB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61,7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8870D73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156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01BC601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75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487C3F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48,08</w:t>
            </w:r>
          </w:p>
        </w:tc>
      </w:tr>
      <w:tr w:rsidR="00B4134C" w:rsidRPr="00B4134C" w14:paraId="678ADF4D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915AD5F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2005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FA8D041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 02-05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A4A370A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31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C2E43FD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47,8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5F3141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118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95634EE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78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B397D5A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66,10</w:t>
            </w:r>
          </w:p>
        </w:tc>
      </w:tr>
      <w:tr w:rsidR="00B4134C" w:rsidRPr="00B4134C" w14:paraId="707618C9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5A585AE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2006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A0655F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 02-06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01C4123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39,45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6FBD13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45,9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5958A8A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125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4F0910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109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BF8523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87,20</w:t>
            </w:r>
          </w:p>
        </w:tc>
      </w:tr>
      <w:tr w:rsidR="00B4134C" w:rsidRPr="00B4134C" w14:paraId="553898FB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DA1C1F0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2007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19A1C2F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 02-07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03804A0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44,65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01647E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54,5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1D0C088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222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076FEEC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178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01E4B38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80,18</w:t>
            </w:r>
          </w:p>
        </w:tc>
      </w:tr>
      <w:tr w:rsidR="00B4134C" w:rsidRPr="00B4134C" w14:paraId="6D63B9F2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751C14D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2008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671AB4D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 02-08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1C5540F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52,75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A3687EF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95,84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909B66B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215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4A7CB23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146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428D44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67,91</w:t>
            </w:r>
          </w:p>
        </w:tc>
      </w:tr>
      <w:tr w:rsidR="00B4134C" w:rsidRPr="00B4134C" w14:paraId="16659C93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5E16E2E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2009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44C9887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PF02-09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984474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52,75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2AEB57A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88,28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374BE86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175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0BDCCCF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111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C66FF8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63,43</w:t>
            </w:r>
          </w:p>
        </w:tc>
      </w:tr>
      <w:tr w:rsidR="00B4134C" w:rsidRPr="00B4134C" w14:paraId="230E6BA3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3346A06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2010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CD451FB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PF02-10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859CFF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32,452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88B2E83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48,95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E8428E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119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F216960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91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FD46AB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76,47</w:t>
            </w:r>
          </w:p>
        </w:tc>
      </w:tr>
      <w:tr w:rsidR="00B4134C" w:rsidRPr="00B4134C" w14:paraId="539C6373" w14:textId="77777777" w:rsidTr="00B4134C"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B44036F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2011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7B44B481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PF02-11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15CDAA6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30,882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0E0E2C46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42,42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50C5358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110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8A3231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87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585A874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79,09</w:t>
            </w:r>
          </w:p>
        </w:tc>
      </w:tr>
      <w:tr w:rsidR="00B4134C" w:rsidRPr="00B4134C" w14:paraId="44F3E9B3" w14:textId="77777777" w:rsidTr="00B4134C">
        <w:tc>
          <w:tcPr>
            <w:tcW w:w="0" w:type="auto"/>
            <w:gridSpan w:val="2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1A00F8A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celkem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6480F606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314,032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426B3CAA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485,39 mil. Kč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27032299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1 130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14:paraId="3E52FD15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788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C3DCA2" w14:textId="77777777" w:rsidR="00B4134C" w:rsidRPr="00B4134C" w:rsidRDefault="00B4134C" w:rsidP="00B4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B4134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</w:p>
        </w:tc>
      </w:tr>
    </w:tbl>
    <w:p w14:paraId="5C59505E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696D05E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Forma podpory v roce 2004-2011:</w:t>
      </w:r>
    </w:p>
    <w:p w14:paraId="1688745E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- </w:t>
      </w: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podpora byla poskytována formou dotace, nebo dotace a návratné finanční výpomoci a v jednotlivých letech se měnil počet a zaměření jednotlivých dotačních titulů</w:t>
      </w:r>
    </w:p>
    <w:p w14:paraId="0BE500E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- </w:t>
      </w: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podporovány byly tyto aktivity v majetku obce: opravy a rekonstrukce venkovské zástavby a občanské vybavenosti, komplexní úpravy veřejného prostranství včetně obnovy a zřizování veřejné zeleně, hřbitovní plochy, venkovní hřiště a dětská hřiště, místní komunikace, cyklistické a pěší stezky, veřejné osvětlení a veřejný rozhlas</w:t>
      </w:r>
    </w:p>
    <w:p w14:paraId="6B5FA38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a) Do roku 2006 byla maximální výše podpory 600.000,- Kč pro obce do 1000 obyvatel.</w:t>
      </w:r>
    </w:p>
    <w:p w14:paraId="4F128D6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b) V roce 2007 byla rovněž maximální výše podpory 600.000,- Kč pro obce do 1500 obyvatel.</w:t>
      </w:r>
    </w:p>
    <w:p w14:paraId="15C763FD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c) V letech 2008 – 2009 byla maximální výše podpory 500.000,- Kč pro obce do 500 obyvatel a 1,000.000,- Kč pro obce od 501 do 2000 obyvatel.</w:t>
      </w:r>
    </w:p>
    <w:p w14:paraId="1D53A3E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lastRenderedPageBreak/>
        <w:t>d) V roce 2011 byla maximální výše podpory 1,000.000,- Kč pro obce do 2000 obyvatel. Byly poskytovány pouze dotace a prioritně byly podporovány akce řešící havarijní stav majetku obcí.</w:t>
      </w:r>
    </w:p>
    <w:p w14:paraId="2CC370DE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- </w:t>
      </w: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v r. 2008 se začlenily do podprogramu projekty na zpracování územních plánů (podpora poskytována formou dotace) – maximální výše podpory 300.000,- Kč.</w:t>
      </w:r>
    </w:p>
    <w:p w14:paraId="60CDC4F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10A538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2. Cíle Podprogramu na podporu obnovy venkova, popis navrhované strategie, indikátory podprogramu</w:t>
      </w:r>
    </w:p>
    <w:p w14:paraId="14326DE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2.1 Cíl POV</w:t>
      </w:r>
    </w:p>
    <w:p w14:paraId="6DAF224A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Cílem Podprogramu Zlínského kraje je obnova a zachování specifických hodnot venkovského prostoru podporou projektů směřujících k obnově a údržbě obecního majetku a podpora zpracování územních plánů.</w:t>
      </w:r>
    </w:p>
    <w:p w14:paraId="72C355E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AC2B99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2.1.1 Podpora obnovy a údržby obecního majetku</w:t>
      </w:r>
    </w:p>
    <w:p w14:paraId="2B576EEA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446C74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Zvolená strategie podprogramu vychází ze znalosti současné situace dotační politiky v České republice, ze skutečnosti omezených zůstatkových zdrojů vyčleněných na rozvoj venkova v rámci Programu rozvoje venkova ČR na období 2007-2013 a Regionálního operačního programu regionu soudržnosti Střední Morava. Nastavení dotačních titulů je v souladu se Zastupitelstvem Zlínského kraje schválenou Strategií rozvoje venkova ve Zlínském kraji 2010-2015 a potřebami obcí do 2 000 obyvatel modifikováno na transformace nevyužitých a částečně nevyužitých objektů na nové využití, na obnovu a rekonstrukci objektů mateřských a základních škol a na stavební úpravy, rozšíření a modernizaci místních komunikací či výstavbu místních pěších komunikací.</w:t>
      </w:r>
    </w:p>
    <w:p w14:paraId="3A58829B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70973F8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2.1.2 Podpora zpracování územních plánů</w:t>
      </w:r>
    </w:p>
    <w:p w14:paraId="756D52B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7E0A4E1A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Program rozvoje venkova ČR, v rámci kterého je částečně možné financovat územní plány obcí, je určen pro obce do 500 obyvatel a z důvodů nízké alokace a nízkého bodového ohodnocení projektů územních plánů, v rámci tzv. regionálních preferenčních kritérií, nepokryje potřeby obcí Zlínského kraje. V Integrovaném operačním programu, v rámci kterého mohly obce čerpat dotaci na územní plány, byl koncem roku 2010 ukončen příjem žádostí o dotaci. Protože v rámci tohoto programu došlo k vyčerpání alokované částky, nepředpokládá se vypsání nové výzvy.</w:t>
      </w:r>
    </w:p>
    <w:p w14:paraId="6C633AB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35D1A29B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2.2 Indikátory podprogramu</w:t>
      </w:r>
    </w:p>
    <w:p w14:paraId="4657D97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333E9D2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Vstup:</w:t>
      </w: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32,000.000,- Kč</w:t>
      </w:r>
    </w:p>
    <w:p w14:paraId="04206CE4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6AFE1A6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Předpokládané výstupy:</w:t>
      </w:r>
    </w:p>
    <w:p w14:paraId="3146D3E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 xml:space="preserve">Počet opravených, zrekonstruovaných a zmodernizovaných objektů ve vlastnictví </w:t>
      </w:r>
      <w:proofErr w:type="gramStart"/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obce..................</w:t>
      </w:r>
      <w:proofErr w:type="gramEnd"/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 xml:space="preserve"> 30</w:t>
      </w:r>
    </w:p>
    <w:p w14:paraId="053B341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 xml:space="preserve">Počet zrekonstruovaných a nových místních komunikací ve vlastnictví </w:t>
      </w:r>
      <w:proofErr w:type="gramStart"/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obce..................</w:t>
      </w:r>
      <w:proofErr w:type="gramEnd"/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 xml:space="preserve"> 20</w:t>
      </w:r>
    </w:p>
    <w:p w14:paraId="4B49DF3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Počet podpořených projektů se zpracovaným konceptem, návrhem nebo úpravou (aktualizací) územně plánovací dokumentace…… 10 – 12</w:t>
      </w:r>
    </w:p>
    <w:p w14:paraId="6C046BA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0A22A54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683E916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35C57A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89AD0E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764CC25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3. Podporované aktivity</w:t>
      </w:r>
    </w:p>
    <w:p w14:paraId="79C9A6E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814D77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Podprogram na podporu obnovy venkova bude realizován ve 2 dotačních titulech.</w:t>
      </w:r>
    </w:p>
    <w:p w14:paraId="6299D6B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Dotační titul č. 1</w:t>
      </w:r>
    </w:p>
    <w:p w14:paraId="42CE8A4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aktivita:</w:t>
      </w:r>
    </w:p>
    <w:p w14:paraId="089B022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Rekonstrukce a obnova venkovské zástavby a občanské vybavenosti v majetku obce</w:t>
      </w:r>
    </w:p>
    <w:p w14:paraId="3DADAB5E" w14:textId="77777777" w:rsidR="00B4134C" w:rsidRPr="00B4134C" w:rsidRDefault="00B4134C" w:rsidP="00B4134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Transformace nevyužitých a částečně nevyužitých objektů na nové využití v souladu se strategií rozvoje obce - Místním programem obnovy venkova.</w:t>
      </w:r>
    </w:p>
    <w:p w14:paraId="4A9406E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lastRenderedPageBreak/>
        <w:t xml:space="preserve">Transformovaný objekt bude sloužit veřejným službám, </w:t>
      </w:r>
      <w:proofErr w:type="spellStart"/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eventuelně</w:t>
      </w:r>
      <w:proofErr w:type="spellEnd"/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 xml:space="preserve"> pro poskytování jiných služeb, pokud toto bude v souladu s cíli podprogramu a nesmí být využit pro účely pořizování bytových zařízení a pronájmu kancelářských prostor. Bude-li probíhat transformace objektu etapovitě, musí být etapa, na jejíž realizaci je požadována dotace, souvislým a po realizaci uživatelným celkem.</w:t>
      </w:r>
    </w:p>
    <w:p w14:paraId="2BD95F8D" w14:textId="77777777" w:rsidR="00B4134C" w:rsidRPr="00B4134C" w:rsidRDefault="00B4134C" w:rsidP="00B4134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Oprava a rekonstrukce mateřských a základních škol.</w:t>
      </w:r>
    </w:p>
    <w:p w14:paraId="4D336E54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Budou preferovány aktivity zaměřené na zajištění dostupnosti školských zařízení ve vazbě na území, kde je nedostatek těchto kapacit a projekty na rozšíření kapacity školských zařízení (pouze stavební úpravy).</w:t>
      </w:r>
    </w:p>
    <w:p w14:paraId="491C58A4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aktivita:</w:t>
      </w:r>
    </w:p>
    <w:p w14:paraId="5F817A6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Rekonstrukce a výstavba místních komunikací na pozemcích v majetku obce</w:t>
      </w:r>
    </w:p>
    <w:p w14:paraId="05416756" w14:textId="77777777" w:rsidR="00B4134C" w:rsidRPr="00B4134C" w:rsidRDefault="00B4134C" w:rsidP="00B4134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Výstavba místních pěších komunikací podél silnic I., II. a III. třídy.</w:t>
      </w:r>
    </w:p>
    <w:p w14:paraId="3925FE46" w14:textId="77777777" w:rsidR="00B4134C" w:rsidRPr="00B4134C" w:rsidRDefault="00B4134C" w:rsidP="00B4134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Stavební úpravy, rozšíření a modernizace úseku místní komunikace včetně jejich součástí a příslušenství v zájmu odstranění nebezpečných míst (ne ve vazbě na silnice I., II. a III. tříd), či zajištění dostupnosti služeb občanské vybavenosti a napojení na hlavní komunikační tahy.</w:t>
      </w:r>
    </w:p>
    <w:p w14:paraId="0198877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Předmětem podpory není výstavba místní komunikace k lokalitám pro novou výstavbu bytových a rodinných domů. Komplexní úprava veřejného prostranství a výsadba zeleně bude podporována pouze v míře bezprostředně vyvolané investicí do místní komunikace. Do pěti let nelze do pořízené investice zasahovat z důvodu realizace nových inženýrských sítí. Zásah je možný pouze v případě oprav stávajících sítí.</w:t>
      </w:r>
    </w:p>
    <w:p w14:paraId="5391B75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18349AD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Dotační titul č. 2</w:t>
      </w:r>
    </w:p>
    <w:p w14:paraId="3526166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Projekty na zpracování územních plánů</w:t>
      </w:r>
    </w:p>
    <w:p w14:paraId="113672DE" w14:textId="77777777" w:rsidR="00B4134C" w:rsidRPr="00B4134C" w:rsidRDefault="00B4134C" w:rsidP="00B4134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Zpracování konceptu, návrhu nebo úpravy (aktualizace) územního plánu obcí do 2000 obyvatel.</w:t>
      </w:r>
    </w:p>
    <w:p w14:paraId="70E1756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1460F61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4. Finanční rámec podprogramu a forma podpory</w:t>
      </w:r>
    </w:p>
    <w:p w14:paraId="66CC85F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Celková částka: </w:t>
      </w: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32 000 000,- Kč</w:t>
      </w:r>
    </w:p>
    <w:p w14:paraId="4F3C8A3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30 000 000,- Kč pro dotační titul č. 1</w:t>
      </w:r>
    </w:p>
    <w:p w14:paraId="608EEA8B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z toho předpokládané rozložení alokace:</w:t>
      </w:r>
    </w:p>
    <w:p w14:paraId="65C8C7C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15 000 000,- Kč pro aktivitu-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Rekonstrukce a obnova venkovské zástavby a občanské vybavenosti v majetku obce</w:t>
      </w:r>
    </w:p>
    <w:p w14:paraId="62A55C6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15 000 000,- Kč pro aktivitu-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Rekonstrukce a výstavba místních komunikací na pozemcích v majetku obce</w:t>
      </w:r>
    </w:p>
    <w:p w14:paraId="7CD7F62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40BECC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2 000 000,- Kč pro dotační titul č. 2</w:t>
      </w:r>
    </w:p>
    <w:p w14:paraId="5886317A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2F250A3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3B057AE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Procentuální výše dotace vychází z celkové výše skutečných způsobilých výdajů projektu.</w:t>
      </w:r>
    </w:p>
    <w:p w14:paraId="5C47EB9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Dotační titul č. 1</w:t>
      </w:r>
    </w:p>
    <w:p w14:paraId="4E26089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pro aktivitu: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Rekonstrukce a obnova venkovské zástavby a občanské vybavenosti v majetku obce</w:t>
      </w:r>
    </w:p>
    <w:p w14:paraId="2424C26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maximální výše podpory - 1 000 000,- Kč na 1 žadatele u dotačního titulu 1</w:t>
      </w:r>
    </w:p>
    <w:p w14:paraId="3141D33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minimální výše podpory - 50 000,- Kč na 1 žadatele u dotačního titulu 1</w:t>
      </w:r>
    </w:p>
    <w:p w14:paraId="454FAB0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1C604C0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3550D23A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Míra podpory pro obce do 500 obyvatel:</w:t>
      </w:r>
    </w:p>
    <w:p w14:paraId="789DCB5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88DD0DE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vlastní prostředky žadatele minimálně 40%,</w:t>
      </w:r>
    </w:p>
    <w:p w14:paraId="5392CAF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dotace Zlínského kraje maximálně 60%,</w:t>
      </w:r>
    </w:p>
    <w:p w14:paraId="418111F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F9A047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lastRenderedPageBreak/>
        <w:t> </w:t>
      </w:r>
    </w:p>
    <w:p w14:paraId="22AA591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Míra podpory pro obce od 501 do 1 000 obyvatel:</w:t>
      </w:r>
    </w:p>
    <w:p w14:paraId="7C28BDF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20C9B2D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vlastní prostředky žadatele minimálně 50%,</w:t>
      </w:r>
    </w:p>
    <w:p w14:paraId="78A9DD4B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dotace Zlínského kraje maximálně 50%,</w:t>
      </w:r>
    </w:p>
    <w:p w14:paraId="279B7F2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136AE82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758A48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Míra podpory pro obce od 1 001 do 2 000 obyvatel:</w:t>
      </w:r>
    </w:p>
    <w:p w14:paraId="6EAC23F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CEC5D3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vlastní prostředky žadatele minimálně 60%,</w:t>
      </w:r>
    </w:p>
    <w:p w14:paraId="72C0364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dotace Zlínského kraje maximálně 40%,</w:t>
      </w:r>
    </w:p>
    <w:p w14:paraId="52EF504E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1E8ACC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163861F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pro aktivitu: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Rekonstrukce a výstavba místních komunikací na pozemcích v majetku obce</w:t>
      </w:r>
    </w:p>
    <w:p w14:paraId="0C12681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maximální výše podpory - 1 000 000,- Kč na 1 žadatele u dotačního titulu 1</w:t>
      </w:r>
    </w:p>
    <w:p w14:paraId="393018C4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minimální výše podpory - 50 000,- Kč na 1 žadatele u dotačního titulu 1</w:t>
      </w:r>
    </w:p>
    <w:p w14:paraId="0532EBF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D928D7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Míra podpory pro obce do 2 000 obyvatel:</w:t>
      </w:r>
    </w:p>
    <w:p w14:paraId="4A49CCF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C483B0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vlastní prostředky žadatele minimálně 60%,</w:t>
      </w:r>
    </w:p>
    <w:p w14:paraId="4A0D509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dotace Zlínského kraje maximálně 40%,</w:t>
      </w:r>
    </w:p>
    <w:p w14:paraId="7BD96A8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ED977D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7D6699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79E79F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75B9A89B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6E864522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Dotační titul č. 2</w:t>
      </w:r>
    </w:p>
    <w:p w14:paraId="301708E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maximální výše podpory - 300 000,- Kč na 1 žadatele u dotačního titulu 2</w:t>
      </w:r>
    </w:p>
    <w:p w14:paraId="7EBCB6B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minimální výše podpory - 50 000,- Kč na 1 žadatele u dotačního titulu 2</w:t>
      </w:r>
    </w:p>
    <w:p w14:paraId="28BA8AE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176FCD03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Míra podpory:</w:t>
      </w:r>
    </w:p>
    <w:p w14:paraId="3718A0B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6D96D6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vlastní prostředky žadatele minimálně 40%,</w:t>
      </w:r>
    </w:p>
    <w:p w14:paraId="1E47171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dotace Zlínského kraje maximálně 60%</w:t>
      </w:r>
    </w:p>
    <w:p w14:paraId="284D547A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39AE899D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77E215D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376CAFB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5. Příjemci podpory a územní vymezení</w:t>
      </w:r>
    </w:p>
    <w:p w14:paraId="5F9E252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103ED9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Obce Zlínského kraje:</w:t>
      </w:r>
    </w:p>
    <w:p w14:paraId="1EBE519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64D976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69B61A1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v rámci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 dotačního titulu č. 1 - 2</w:t>
      </w:r>
    </w:p>
    <w:p w14:paraId="0A12DB3E" w14:textId="77777777" w:rsidR="00B4134C" w:rsidRPr="00B4134C" w:rsidRDefault="00B4134C" w:rsidP="00B4134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i/>
          <w:iCs/>
          <w:color w:val="3B4047"/>
          <w:sz w:val="21"/>
          <w:szCs w:val="21"/>
          <w:lang w:eastAsia="cs-CZ"/>
        </w:rPr>
        <w:t>do 2 000 obyvatel</w:t>
      </w:r>
    </w:p>
    <w:p w14:paraId="10717D9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6CEAE55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A6C0C6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Žadatel může podat:</w:t>
      </w:r>
    </w:p>
    <w:p w14:paraId="6E2472E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0758FD8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1 žádost na jednu podporovanou aktivitu v rámci dotačního titulu č. 1</w:t>
      </w:r>
    </w:p>
    <w:p w14:paraId="7C041151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1 žádost na jednu podporovanou aktivitu v rámci dotačního titulu č. 2</w:t>
      </w:r>
    </w:p>
    <w:p w14:paraId="43193D5F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3A54438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4DB02A2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Územní vymezení: území Zlínského kraje</w:t>
      </w:r>
    </w:p>
    <w:p w14:paraId="7A4CE669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733053B6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200859D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lastRenderedPageBreak/>
        <w:t>6. Předpokládaný časový harmonogram realizace Podprogramu na podporu obnovy venkova</w:t>
      </w:r>
    </w:p>
    <w:p w14:paraId="7B6B5628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</w:t>
      </w:r>
    </w:p>
    <w:p w14:paraId="5FD5408E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Schválení rámce podprogramu Zastupitelstvem Zlínského kraje –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14. 12. 2011</w:t>
      </w:r>
    </w:p>
    <w:p w14:paraId="131A6387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Schválení prováděcího dokumentu Informace pro žadatele Radou Zlínského kraje -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9. 1. 2012</w:t>
      </w:r>
    </w:p>
    <w:p w14:paraId="7668E0A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Zveřejnění Výzvy k předkládání Žádostí o poskytnutí podpory -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11. 1. 2012</w:t>
      </w:r>
    </w:p>
    <w:p w14:paraId="307F1965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Příjem a evidence žádostí o poskytnutí podpory </w:t>
      </w: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dotační titul č. 1</w:t>
      </w: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 do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13. 2. 2012</w:t>
      </w:r>
    </w:p>
    <w:p w14:paraId="16FE107C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Příjem a evidence žádostí o poskytnutí podpory </w:t>
      </w: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dotační titul č. 2 </w:t>
      </w: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do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30. 3. 2012</w:t>
      </w:r>
    </w:p>
    <w:p w14:paraId="2BCB21E4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Schválení podpor v Zastupitelstvu Zlínského kraje – do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června 2012</w:t>
      </w:r>
    </w:p>
    <w:p w14:paraId="2ADFEE30" w14:textId="77777777" w:rsidR="00B4134C" w:rsidRPr="00B4134C" w:rsidRDefault="00B4134C" w:rsidP="00B4134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Nejzazší datum pro realizaci projektu v rámci podprogramu u </w:t>
      </w: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dotačního titulu č. 1 </w:t>
      </w: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do -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30. 11. 2012</w:t>
      </w:r>
    </w:p>
    <w:p w14:paraId="6BC1706A" w14:textId="77777777" w:rsidR="00B4134C" w:rsidRPr="00B4134C" w:rsidRDefault="00B4134C" w:rsidP="00B4134C">
      <w:pPr>
        <w:shd w:val="clear" w:color="auto" w:fill="FFFFFF"/>
        <w:spacing w:line="240" w:lineRule="auto"/>
        <w:rPr>
          <w:rFonts w:ascii="Arial" w:eastAsia="Times New Roman" w:hAnsi="Arial" w:cs="Arial"/>
          <w:color w:val="3B4047"/>
          <w:sz w:val="21"/>
          <w:szCs w:val="21"/>
          <w:lang w:eastAsia="cs-CZ"/>
        </w:rPr>
      </w:pP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Nejzazší datum pro realizaci projektu v rámci podprogramu u </w:t>
      </w:r>
      <w:r w:rsidRPr="00B4134C">
        <w:rPr>
          <w:rFonts w:ascii="Arial" w:eastAsia="Times New Roman" w:hAnsi="Arial" w:cs="Arial"/>
          <w:i/>
          <w:iCs/>
          <w:color w:val="3B4047"/>
          <w:sz w:val="21"/>
          <w:szCs w:val="21"/>
          <w:lang w:eastAsia="cs-CZ"/>
        </w:rPr>
        <w:t>dotačního titulu č. 2 </w:t>
      </w:r>
      <w:r w:rsidRPr="00B4134C">
        <w:rPr>
          <w:rFonts w:ascii="Arial" w:eastAsia="Times New Roman" w:hAnsi="Arial" w:cs="Arial"/>
          <w:color w:val="3B4047"/>
          <w:sz w:val="21"/>
          <w:szCs w:val="21"/>
          <w:lang w:eastAsia="cs-CZ"/>
        </w:rPr>
        <w:t>do - </w:t>
      </w:r>
      <w:r w:rsidRPr="00B4134C">
        <w:rPr>
          <w:rFonts w:ascii="Arial" w:eastAsia="Times New Roman" w:hAnsi="Arial" w:cs="Arial"/>
          <w:b/>
          <w:bCs/>
          <w:color w:val="3B4047"/>
          <w:sz w:val="21"/>
          <w:szCs w:val="21"/>
          <w:lang w:eastAsia="cs-CZ"/>
        </w:rPr>
        <w:t>29. 11. 2013</w:t>
      </w:r>
    </w:p>
    <w:p w14:paraId="77028F8F" w14:textId="77777777" w:rsidR="00DF4970" w:rsidRDefault="00DF4970">
      <w:bookmarkStart w:id="0" w:name="_GoBack"/>
      <w:bookmarkEnd w:id="0"/>
    </w:p>
    <w:sectPr w:rsidR="00DF4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51DEA"/>
    <w:multiLevelType w:val="multilevel"/>
    <w:tmpl w:val="B096DE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260469"/>
    <w:multiLevelType w:val="multilevel"/>
    <w:tmpl w:val="BB285F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D00FB7"/>
    <w:multiLevelType w:val="multilevel"/>
    <w:tmpl w:val="2D92C9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97D0012"/>
    <w:multiLevelType w:val="multilevel"/>
    <w:tmpl w:val="A530D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DB725F"/>
    <w:multiLevelType w:val="multilevel"/>
    <w:tmpl w:val="E1201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34C"/>
    <w:rsid w:val="00B4134C"/>
    <w:rsid w:val="00D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92C4"/>
  <w15:chartTrackingRefBased/>
  <w15:docId w15:val="{47FCEA0A-8C8C-438C-96B1-55F65F223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2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924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0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9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2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93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2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8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1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8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6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4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4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9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02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94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4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6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8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3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1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1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7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6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1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8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45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9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28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8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3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9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3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176AD870A0C448B7EF302593BEBDDA" ma:contentTypeVersion="7" ma:contentTypeDescription="Vytvoří nový dokument" ma:contentTypeScope="" ma:versionID="4779653994c55bca2788a20b0edc89b3">
  <xsd:schema xmlns:xsd="http://www.w3.org/2001/XMLSchema" xmlns:xs="http://www.w3.org/2001/XMLSchema" xmlns:p="http://schemas.microsoft.com/office/2006/metadata/properties" xmlns:ns3="e9488e27-62b4-47cf-9353-e24b519013c0" targetNamespace="http://schemas.microsoft.com/office/2006/metadata/properties" ma:root="true" ma:fieldsID="57b0adb5b2563c32cf31d144bf41f52c" ns3:_="">
    <xsd:import namespace="e9488e27-62b4-47cf-9353-e24b519013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88e27-62b4-47cf-9353-e24b51901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4B05F1-E43A-4EDC-8833-DEE5D667D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88e27-62b4-47cf-9353-e24b51901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8B1046-5F11-4250-8B94-3B38A3B01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94AF0-CA5E-4252-80C9-110854A8A32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e9488e27-62b4-47cf-9353-e24b519013c0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9687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Polehlová Andrea</dc:creator>
  <cp:keywords/>
  <dc:description/>
  <cp:lastModifiedBy>Polehlová Andrea</cp:lastModifiedBy>
  <cp:revision>1</cp:revision>
  <dcterms:created xsi:type="dcterms:W3CDTF">2023-03-28T08:29:00Z</dcterms:created>
  <dcterms:modified xsi:type="dcterms:W3CDTF">2023-03-28T08:31:00Z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0x0101001C176AD870A0C448B7EF302593BEBDDA</vt:lpwstr>
  </property>
</Properties>
</file>